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D01EA" w14:textId="77777777" w:rsidR="00C82299" w:rsidRDefault="00C82299" w:rsidP="00C82299">
      <w:pPr>
        <w:pStyle w:val="Blockquote"/>
        <w:tabs>
          <w:tab w:val="left" w:pos="567"/>
          <w:tab w:val="left" w:pos="1134"/>
        </w:tabs>
        <w:spacing w:before="0" w:after="0"/>
        <w:ind w:left="0" w:right="0"/>
        <w:rPr>
          <w:rFonts w:ascii="Arial" w:hAnsi="Arial" w:cs="Arial"/>
          <w:b/>
          <w:sz w:val="22"/>
          <w:szCs w:val="22"/>
        </w:rPr>
      </w:pPr>
      <w:r>
        <w:rPr>
          <w:rFonts w:ascii="Arial" w:hAnsi="Arial" w:cs="Arial"/>
          <w:b/>
          <w:sz w:val="22"/>
          <w:szCs w:val="22"/>
        </w:rPr>
        <w:t xml:space="preserve">5. </w:t>
      </w:r>
      <w:r>
        <w:rPr>
          <w:rFonts w:ascii="Arial" w:hAnsi="Arial" w:cs="Arial"/>
          <w:b/>
          <w:sz w:val="22"/>
          <w:szCs w:val="22"/>
        </w:rPr>
        <w:tab/>
        <w:t>Terms of Reference for Planning Committee</w:t>
      </w:r>
    </w:p>
    <w:p w14:paraId="4BBF5E40" w14:textId="77777777" w:rsidR="00C82299" w:rsidRDefault="00C82299" w:rsidP="00C82299">
      <w:pPr>
        <w:widowControl w:val="0"/>
        <w:tabs>
          <w:tab w:val="left" w:pos="567"/>
          <w:tab w:val="left" w:pos="1134"/>
        </w:tabs>
        <w:rPr>
          <w:rFonts w:ascii="Arial" w:hAnsi="Arial" w:cs="Arial"/>
          <w:sz w:val="22"/>
          <w:szCs w:val="22"/>
        </w:rPr>
      </w:pPr>
    </w:p>
    <w:p w14:paraId="078F9AFD" w14:textId="77777777" w:rsidR="00C82299" w:rsidRDefault="00C82299" w:rsidP="00C82299">
      <w:pPr>
        <w:pStyle w:val="ListParagraph"/>
        <w:widowControl w:val="0"/>
        <w:numPr>
          <w:ilvl w:val="0"/>
          <w:numId w:val="1"/>
        </w:numPr>
        <w:tabs>
          <w:tab w:val="left" w:pos="567"/>
          <w:tab w:val="left" w:pos="1134"/>
        </w:tabs>
        <w:ind w:left="567" w:hanging="567"/>
        <w:contextualSpacing/>
        <w:rPr>
          <w:rFonts w:ascii="Arial" w:hAnsi="Arial" w:cs="Arial"/>
          <w:sz w:val="22"/>
          <w:szCs w:val="22"/>
        </w:rPr>
      </w:pPr>
      <w:r>
        <w:rPr>
          <w:rFonts w:ascii="Arial" w:hAnsi="Arial" w:cs="Arial"/>
          <w:sz w:val="22"/>
          <w:szCs w:val="22"/>
        </w:rPr>
        <w:t>To determine applications for planning permission (save for minor variations to existing permissions) where:</w:t>
      </w:r>
    </w:p>
    <w:p w14:paraId="2B39984E" w14:textId="77777777" w:rsidR="00C82299" w:rsidRDefault="00C82299" w:rsidP="00C82299">
      <w:pPr>
        <w:widowControl w:val="0"/>
        <w:tabs>
          <w:tab w:val="left" w:pos="567"/>
          <w:tab w:val="left" w:pos="1134"/>
        </w:tabs>
        <w:rPr>
          <w:rFonts w:ascii="Arial" w:hAnsi="Arial" w:cs="Arial"/>
          <w:sz w:val="22"/>
          <w:szCs w:val="22"/>
        </w:rPr>
      </w:pPr>
    </w:p>
    <w:p w14:paraId="5B94AB3F" w14:textId="77777777" w:rsidR="00C82299" w:rsidRDefault="00C82299" w:rsidP="00C82299">
      <w:pPr>
        <w:pStyle w:val="ListParagraph"/>
        <w:widowControl w:val="0"/>
        <w:numPr>
          <w:ilvl w:val="0"/>
          <w:numId w:val="2"/>
        </w:numPr>
        <w:tabs>
          <w:tab w:val="left" w:pos="567"/>
          <w:tab w:val="left" w:pos="1134"/>
        </w:tabs>
        <w:ind w:left="1134" w:hanging="567"/>
        <w:contextualSpacing/>
        <w:rPr>
          <w:rFonts w:ascii="Arial" w:hAnsi="Arial" w:cs="Arial"/>
          <w:sz w:val="22"/>
          <w:szCs w:val="22"/>
        </w:rPr>
      </w:pPr>
      <w:r>
        <w:rPr>
          <w:rFonts w:ascii="Arial" w:hAnsi="Arial" w:cs="Arial"/>
          <w:sz w:val="22"/>
          <w:szCs w:val="22"/>
        </w:rPr>
        <w:t>it relates to residential development and it will result in 10 or more dwellings being constructed or concerns a site greater than 0.5 hectares in size</w:t>
      </w:r>
    </w:p>
    <w:p w14:paraId="717A7197" w14:textId="77777777" w:rsidR="00C82299" w:rsidRDefault="00C82299" w:rsidP="00C82299">
      <w:pPr>
        <w:pStyle w:val="ListParagraph"/>
        <w:widowControl w:val="0"/>
        <w:tabs>
          <w:tab w:val="left" w:pos="567"/>
          <w:tab w:val="left" w:pos="1134"/>
        </w:tabs>
        <w:ind w:left="1134" w:hanging="567"/>
        <w:rPr>
          <w:rFonts w:ascii="Arial" w:hAnsi="Arial" w:cs="Arial"/>
          <w:sz w:val="22"/>
          <w:szCs w:val="22"/>
        </w:rPr>
      </w:pPr>
    </w:p>
    <w:p w14:paraId="0164A8AB" w14:textId="77777777" w:rsidR="00C82299" w:rsidRDefault="00C82299" w:rsidP="00C82299">
      <w:pPr>
        <w:widowControl w:val="0"/>
        <w:tabs>
          <w:tab w:val="left" w:pos="567"/>
          <w:tab w:val="left" w:pos="1134"/>
        </w:tabs>
        <w:ind w:left="1134" w:hanging="567"/>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for any other form of development if it results in floor space greater than 1000 square metres    </w:t>
      </w:r>
    </w:p>
    <w:p w14:paraId="0DA75083" w14:textId="77777777" w:rsidR="00C82299" w:rsidRDefault="00C82299" w:rsidP="00C82299">
      <w:pPr>
        <w:widowControl w:val="0"/>
        <w:tabs>
          <w:tab w:val="left" w:pos="567"/>
          <w:tab w:val="left" w:pos="1134"/>
        </w:tabs>
        <w:ind w:left="364"/>
        <w:rPr>
          <w:rFonts w:ascii="Arial" w:hAnsi="Arial" w:cs="Arial"/>
          <w:sz w:val="22"/>
          <w:szCs w:val="22"/>
        </w:rPr>
      </w:pPr>
      <w:r>
        <w:rPr>
          <w:rFonts w:ascii="Arial" w:hAnsi="Arial" w:cs="Arial"/>
          <w:sz w:val="22"/>
          <w:szCs w:val="22"/>
        </w:rPr>
        <w:t xml:space="preserve">                                </w:t>
      </w:r>
    </w:p>
    <w:p w14:paraId="66C86165" w14:textId="77777777" w:rsidR="00C82299" w:rsidRDefault="00C82299" w:rsidP="00C82299">
      <w:pPr>
        <w:widowControl w:val="0"/>
        <w:numPr>
          <w:ilvl w:val="0"/>
          <w:numId w:val="1"/>
        </w:numPr>
        <w:tabs>
          <w:tab w:val="left" w:pos="567"/>
          <w:tab w:val="left" w:pos="1134"/>
        </w:tabs>
        <w:ind w:left="567" w:hanging="567"/>
        <w:rPr>
          <w:rFonts w:ascii="Arial" w:hAnsi="Arial" w:cs="Arial"/>
          <w:sz w:val="22"/>
          <w:szCs w:val="22"/>
        </w:rPr>
      </w:pPr>
      <w:r>
        <w:rPr>
          <w:rFonts w:ascii="Arial" w:hAnsi="Arial" w:cs="Arial"/>
          <w:sz w:val="22"/>
          <w:szCs w:val="22"/>
        </w:rPr>
        <w:t>To determine any applications for Class A4 and A5 Food &amp; Drink uses (Hot food takeaways/Pubs).</w:t>
      </w:r>
    </w:p>
    <w:p w14:paraId="304D40B0" w14:textId="77777777" w:rsidR="00C82299" w:rsidRDefault="00C82299" w:rsidP="00C82299">
      <w:pPr>
        <w:widowControl w:val="0"/>
        <w:tabs>
          <w:tab w:val="left" w:pos="567"/>
          <w:tab w:val="left" w:pos="1134"/>
        </w:tabs>
        <w:ind w:left="567" w:hanging="567"/>
        <w:rPr>
          <w:rFonts w:ascii="Arial" w:hAnsi="Arial" w:cs="Arial"/>
          <w:sz w:val="22"/>
          <w:szCs w:val="22"/>
        </w:rPr>
      </w:pPr>
    </w:p>
    <w:p w14:paraId="1EB76BC4" w14:textId="77777777" w:rsidR="00C82299" w:rsidRDefault="00C82299" w:rsidP="00C82299">
      <w:pPr>
        <w:widowControl w:val="0"/>
        <w:numPr>
          <w:ilvl w:val="0"/>
          <w:numId w:val="1"/>
        </w:numPr>
        <w:tabs>
          <w:tab w:val="left" w:pos="567"/>
          <w:tab w:val="left" w:pos="1134"/>
        </w:tabs>
        <w:ind w:left="567" w:hanging="567"/>
        <w:rPr>
          <w:rFonts w:ascii="Arial" w:hAnsi="Arial" w:cs="Arial"/>
          <w:sz w:val="22"/>
          <w:szCs w:val="22"/>
        </w:rPr>
      </w:pPr>
      <w:r>
        <w:rPr>
          <w:rFonts w:ascii="Arial" w:hAnsi="Arial" w:cs="Arial"/>
          <w:sz w:val="22"/>
          <w:szCs w:val="22"/>
        </w:rPr>
        <w:t xml:space="preserve">To determine any application where the applicant or a </w:t>
      </w:r>
      <w:r>
        <w:rPr>
          <w:rFonts w:ascii="Arial" w:hAnsi="Arial" w:cs="Arial"/>
          <w:sz w:val="22"/>
          <w:szCs w:val="22"/>
          <w:lang w:eastAsia="en-GB"/>
        </w:rPr>
        <w:t>close relative of the applicant is a member or employee of South Ribble Borough Council. (Close relative is defined as a spouse, partner, parent, parent-in-law, son, or daughter)</w:t>
      </w:r>
      <w:r>
        <w:rPr>
          <w:rFonts w:ascii="Arial" w:hAnsi="Arial" w:cs="Arial"/>
          <w:sz w:val="22"/>
          <w:szCs w:val="22"/>
        </w:rPr>
        <w:t>.</w:t>
      </w:r>
    </w:p>
    <w:p w14:paraId="7DAE1125" w14:textId="77777777" w:rsidR="00C82299" w:rsidRDefault="00C82299" w:rsidP="00C82299">
      <w:pPr>
        <w:widowControl w:val="0"/>
        <w:tabs>
          <w:tab w:val="left" w:pos="567"/>
          <w:tab w:val="left" w:pos="1134"/>
        </w:tabs>
        <w:ind w:left="567" w:hanging="567"/>
        <w:rPr>
          <w:rFonts w:ascii="Arial" w:hAnsi="Arial" w:cs="Arial"/>
          <w:sz w:val="22"/>
          <w:szCs w:val="22"/>
        </w:rPr>
      </w:pPr>
    </w:p>
    <w:p w14:paraId="19D4BB92" w14:textId="77777777" w:rsidR="00C82299" w:rsidRDefault="00C82299" w:rsidP="00C82299">
      <w:pPr>
        <w:widowControl w:val="0"/>
        <w:numPr>
          <w:ilvl w:val="0"/>
          <w:numId w:val="1"/>
        </w:numPr>
        <w:tabs>
          <w:tab w:val="left" w:pos="567"/>
          <w:tab w:val="left" w:pos="1134"/>
        </w:tabs>
        <w:ind w:left="567" w:hanging="567"/>
        <w:rPr>
          <w:rFonts w:ascii="Arial" w:hAnsi="Arial" w:cs="Arial"/>
          <w:sz w:val="22"/>
          <w:szCs w:val="22"/>
        </w:rPr>
      </w:pPr>
      <w:r>
        <w:rPr>
          <w:rFonts w:ascii="Arial" w:hAnsi="Arial" w:cs="Arial"/>
          <w:sz w:val="22"/>
          <w:szCs w:val="22"/>
        </w:rPr>
        <w:t>To determine any application where the Officer who would normally make the decision knows that a member or employee of South Ribble Borough Council has a declarable interest in the application.</w:t>
      </w:r>
    </w:p>
    <w:p w14:paraId="112C7EB9" w14:textId="77777777" w:rsidR="00C82299" w:rsidRDefault="00C82299" w:rsidP="00C82299">
      <w:pPr>
        <w:widowControl w:val="0"/>
        <w:tabs>
          <w:tab w:val="left" w:pos="567"/>
          <w:tab w:val="left" w:pos="1134"/>
        </w:tabs>
        <w:ind w:left="567" w:hanging="567"/>
        <w:rPr>
          <w:rFonts w:ascii="Arial" w:hAnsi="Arial" w:cs="Arial"/>
          <w:sz w:val="22"/>
          <w:szCs w:val="22"/>
        </w:rPr>
      </w:pPr>
    </w:p>
    <w:p w14:paraId="730638E6" w14:textId="77777777" w:rsidR="00C82299" w:rsidRDefault="00C82299" w:rsidP="00C82299">
      <w:pPr>
        <w:tabs>
          <w:tab w:val="left" w:pos="567"/>
          <w:tab w:val="left" w:pos="1134"/>
        </w:tabs>
        <w:ind w:left="567" w:hanging="567"/>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To consider any application which, within 3 weeks of its validation, a member has requested the Director of Development, Enterprise and Communities in consultation with the Chair of Planning Committee to refer to the Committee. Any request must be accompanied by appropriate planning reasons for the referral to the satisfaction of the said Director and Chair. </w:t>
      </w:r>
    </w:p>
    <w:p w14:paraId="50C1CA83" w14:textId="77777777" w:rsidR="00C82299" w:rsidRDefault="00C82299" w:rsidP="00C82299">
      <w:pPr>
        <w:widowControl w:val="0"/>
        <w:tabs>
          <w:tab w:val="left" w:pos="567"/>
          <w:tab w:val="left" w:pos="1134"/>
        </w:tabs>
        <w:rPr>
          <w:rFonts w:ascii="Arial" w:hAnsi="Arial" w:cs="Arial"/>
          <w:sz w:val="22"/>
          <w:szCs w:val="22"/>
        </w:rPr>
      </w:pPr>
    </w:p>
    <w:p w14:paraId="3582E047" w14:textId="77777777" w:rsidR="00C82299" w:rsidRDefault="00C82299" w:rsidP="00C82299">
      <w:pPr>
        <w:widowControl w:val="0"/>
        <w:tabs>
          <w:tab w:val="left" w:pos="567"/>
          <w:tab w:val="left" w:pos="1134"/>
        </w:tabs>
        <w:rPr>
          <w:rFonts w:ascii="Arial" w:hAnsi="Arial" w:cs="Arial"/>
          <w:sz w:val="22"/>
          <w:szCs w:val="22"/>
        </w:rPr>
      </w:pPr>
      <w:r>
        <w:rPr>
          <w:rFonts w:ascii="Arial" w:hAnsi="Arial" w:cs="Arial"/>
          <w:b/>
          <w:sz w:val="22"/>
          <w:szCs w:val="22"/>
        </w:rPr>
        <w:t>Where none of the above applies the decision will be made under the power of officer delegation set out in paragraph 6 below.  This will include cases where the decision may be contrary to views which have been received from interested parties</w:t>
      </w:r>
      <w:r>
        <w:rPr>
          <w:rFonts w:ascii="Arial" w:hAnsi="Arial" w:cs="Arial"/>
          <w:sz w:val="22"/>
          <w:szCs w:val="22"/>
        </w:rPr>
        <w:t>.</w:t>
      </w:r>
    </w:p>
    <w:p w14:paraId="31717939" w14:textId="77777777" w:rsidR="00517B37" w:rsidRDefault="00C82299">
      <w:bookmarkStart w:id="0" w:name="_GoBack"/>
      <w:bookmarkEnd w:id="0"/>
    </w:p>
    <w:sectPr w:rsidR="00517B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5E84"/>
    <w:multiLevelType w:val="hybridMultilevel"/>
    <w:tmpl w:val="2D00D198"/>
    <w:lvl w:ilvl="0" w:tplc="1BFE388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7C36755"/>
    <w:multiLevelType w:val="singleLevel"/>
    <w:tmpl w:val="0809000F"/>
    <w:lvl w:ilvl="0">
      <w:start w:val="1"/>
      <w:numFmt w:val="decimal"/>
      <w:lvlText w:val="%1."/>
      <w:lvlJc w:val="left"/>
      <w:pPr>
        <w:ind w:left="36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CA"/>
    <w:rsid w:val="00164F18"/>
    <w:rsid w:val="004379CA"/>
    <w:rsid w:val="00607888"/>
    <w:rsid w:val="00C82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F8997-97E6-49E5-B6DD-78EC6EE9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29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99"/>
    <w:pPr>
      <w:ind w:left="720"/>
    </w:pPr>
  </w:style>
  <w:style w:type="paragraph" w:customStyle="1" w:styleId="Blockquote">
    <w:name w:val="Blockquote"/>
    <w:basedOn w:val="Normal"/>
    <w:rsid w:val="00C82299"/>
    <w:pPr>
      <w:snapToGrid w:val="0"/>
      <w:spacing w:before="100" w:after="100"/>
      <w:ind w:left="360" w:right="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South Ribble Borough Council</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Whelan</dc:creator>
  <cp:keywords/>
  <dc:description/>
  <cp:lastModifiedBy>David Whelan</cp:lastModifiedBy>
  <cp:revision>2</cp:revision>
  <dcterms:created xsi:type="dcterms:W3CDTF">2022-11-21T10:01:00Z</dcterms:created>
  <dcterms:modified xsi:type="dcterms:W3CDTF">2022-11-21T10:01:00Z</dcterms:modified>
</cp:coreProperties>
</file>